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D2002" w14:textId="2A670249" w:rsidR="00F17715" w:rsidRPr="00373E00" w:rsidRDefault="00373E00" w:rsidP="00373E00">
      <w:pPr>
        <w:jc w:val="center"/>
        <w:rPr>
          <w:b/>
          <w:bCs/>
          <w:lang w:val="es-ES"/>
        </w:rPr>
      </w:pPr>
      <w:r w:rsidRPr="00373E00">
        <w:rPr>
          <w:b/>
          <w:bCs/>
          <w:lang w:val="es-ES"/>
        </w:rPr>
        <w:t>Ficha Caracterización de Buenas Prácticas en Equidad de Género en el Sector Empresarial Antioqueño</w:t>
      </w:r>
    </w:p>
    <w:p w14:paraId="4CCF66B0" w14:textId="4BA3424E" w:rsidR="00373E00" w:rsidRDefault="00373E00" w:rsidP="00373E00">
      <w:pPr>
        <w:jc w:val="center"/>
        <w:rPr>
          <w:lang w:val="es-ES"/>
        </w:rPr>
      </w:pPr>
    </w:p>
    <w:tbl>
      <w:tblPr>
        <w:tblW w:w="9435" w:type="dxa"/>
        <w:jc w:val="center"/>
        <w:tblCellMar>
          <w:left w:w="0" w:type="dxa"/>
          <w:right w:w="0" w:type="dxa"/>
        </w:tblCellMar>
        <w:tblLook w:val="04A0" w:firstRow="1" w:lastRow="0" w:firstColumn="1" w:lastColumn="0" w:noHBand="0" w:noVBand="1"/>
      </w:tblPr>
      <w:tblGrid>
        <w:gridCol w:w="3117"/>
        <w:gridCol w:w="6318"/>
      </w:tblGrid>
      <w:tr w:rsidR="00F462F2" w:rsidRPr="00F462F2" w14:paraId="68E1ED8F" w14:textId="77777777" w:rsidTr="00D87369">
        <w:trPr>
          <w:jc w:val="center"/>
        </w:trPr>
        <w:tc>
          <w:tcPr>
            <w:tcW w:w="3117" w:type="dxa"/>
            <w:tcBorders>
              <w:top w:val="nil"/>
            </w:tcBorders>
            <w:tcMar>
              <w:top w:w="0" w:type="dxa"/>
              <w:left w:w="108" w:type="dxa"/>
              <w:bottom w:w="0" w:type="dxa"/>
              <w:right w:w="108" w:type="dxa"/>
            </w:tcMar>
          </w:tcPr>
          <w:p w14:paraId="35632231" w14:textId="77777777" w:rsidR="00F462F2" w:rsidRPr="00F462F2" w:rsidRDefault="00F462F2" w:rsidP="00F462F2">
            <w:pPr>
              <w:jc w:val="both"/>
              <w:rPr>
                <w:rFonts w:ascii="Calibri" w:hAnsi="Calibri" w:cs="Calibri"/>
                <w:b/>
                <w:bCs/>
                <w:sz w:val="22"/>
                <w:szCs w:val="22"/>
                <w:lang w:val="es-ES" w:eastAsia="es-CO"/>
              </w:rPr>
            </w:pPr>
          </w:p>
        </w:tc>
        <w:tc>
          <w:tcPr>
            <w:tcW w:w="6318" w:type="dxa"/>
            <w:tcBorders>
              <w:top w:val="nil"/>
            </w:tcBorders>
            <w:tcMar>
              <w:top w:w="0" w:type="dxa"/>
              <w:left w:w="108" w:type="dxa"/>
              <w:bottom w:w="0" w:type="dxa"/>
              <w:right w:w="108" w:type="dxa"/>
            </w:tcMar>
          </w:tcPr>
          <w:p w14:paraId="3723863F" w14:textId="77777777" w:rsidR="00F462F2" w:rsidRPr="00F462F2" w:rsidRDefault="00F462F2" w:rsidP="00F462F2">
            <w:pPr>
              <w:jc w:val="both"/>
              <w:rPr>
                <w:rFonts w:ascii="Calibri" w:hAnsi="Calibri" w:cs="Calibri"/>
                <w:sz w:val="22"/>
                <w:szCs w:val="22"/>
                <w:lang w:eastAsia="es-CO"/>
              </w:rPr>
            </w:pPr>
          </w:p>
        </w:tc>
      </w:tr>
      <w:tr w:rsidR="00F462F2" w:rsidRPr="00F462F2" w14:paraId="09AC8735" w14:textId="77777777" w:rsidTr="00D87369">
        <w:trPr>
          <w:trHeight w:val="526"/>
          <w:jc w:val="center"/>
        </w:trPr>
        <w:tc>
          <w:tcPr>
            <w:tcW w:w="9435" w:type="dxa"/>
            <w:gridSpan w:val="2"/>
            <w:tcBorders>
              <w:left w:val="single" w:sz="8" w:space="0" w:color="4F81BD"/>
              <w:bottom w:val="nil"/>
              <w:right w:val="single" w:sz="8" w:space="0" w:color="4F81BD"/>
            </w:tcBorders>
            <w:shd w:val="clear" w:color="auto" w:fill="4F81BD"/>
            <w:tcMar>
              <w:top w:w="0" w:type="dxa"/>
              <w:left w:w="108" w:type="dxa"/>
              <w:bottom w:w="0" w:type="dxa"/>
              <w:right w:w="108" w:type="dxa"/>
            </w:tcMar>
            <w:vAlign w:val="center"/>
            <w:hideMark/>
          </w:tcPr>
          <w:p w14:paraId="3E637C83" w14:textId="77777777" w:rsidR="00F462F2" w:rsidRPr="00F462F2" w:rsidRDefault="00F462F2" w:rsidP="00F462F2">
            <w:pPr>
              <w:jc w:val="center"/>
              <w:rPr>
                <w:rFonts w:ascii="Calibri" w:hAnsi="Calibri" w:cs="Calibri"/>
                <w:b/>
                <w:bCs/>
                <w:lang w:eastAsia="es-CO"/>
              </w:rPr>
            </w:pPr>
            <w:r w:rsidRPr="00F462F2">
              <w:rPr>
                <w:rFonts w:ascii="Calibri" w:hAnsi="Calibri" w:cs="Calibri"/>
                <w:b/>
                <w:bCs/>
                <w:color w:val="FFFFFF"/>
                <w:sz w:val="22"/>
                <w:szCs w:val="22"/>
                <w:lang w:eastAsia="es-CO"/>
              </w:rPr>
              <w:t>CARACTERIZACIÓN DE LA EMPRESA</w:t>
            </w:r>
          </w:p>
        </w:tc>
      </w:tr>
      <w:tr w:rsidR="00F462F2" w:rsidRPr="00F462F2" w14:paraId="0E1EE025" w14:textId="77777777" w:rsidTr="00D87369">
        <w:trPr>
          <w:jc w:val="center"/>
        </w:trPr>
        <w:tc>
          <w:tcPr>
            <w:tcW w:w="3117"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3ACBB905"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Nombre de la Empresa</w:t>
            </w:r>
          </w:p>
        </w:tc>
        <w:tc>
          <w:tcPr>
            <w:tcW w:w="6318"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3485DA92" w14:textId="77777777" w:rsidR="00F462F2" w:rsidRPr="00F462F2" w:rsidRDefault="00F462F2" w:rsidP="00F462F2">
            <w:pPr>
              <w:rPr>
                <w:rFonts w:ascii="Calibri" w:hAnsi="Calibri" w:cs="Calibri"/>
                <w:sz w:val="22"/>
                <w:szCs w:val="22"/>
                <w:lang w:eastAsia="es-CO"/>
              </w:rPr>
            </w:pPr>
            <w:r w:rsidRPr="00F462F2">
              <w:rPr>
                <w:rFonts w:ascii="Calibri" w:hAnsi="Calibri" w:cs="Calibri"/>
                <w:sz w:val="22"/>
                <w:szCs w:val="22"/>
                <w:lang w:eastAsia="es-CO"/>
              </w:rPr>
              <w:t>Bancolombia</w:t>
            </w:r>
          </w:p>
        </w:tc>
      </w:tr>
      <w:tr w:rsidR="00F462F2" w:rsidRPr="00F462F2" w14:paraId="5E9D6186" w14:textId="77777777" w:rsidTr="00D87369">
        <w:trPr>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51899B65"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Sector</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271B5520" w14:textId="77777777" w:rsidR="00F462F2" w:rsidRPr="00F462F2" w:rsidRDefault="00F462F2" w:rsidP="00F462F2">
            <w:pPr>
              <w:rPr>
                <w:rFonts w:ascii="Calibri" w:hAnsi="Calibri" w:cs="Calibri"/>
                <w:sz w:val="22"/>
                <w:szCs w:val="22"/>
                <w:lang w:val="es-ES" w:eastAsia="es-CO"/>
              </w:rPr>
            </w:pPr>
            <w:r w:rsidRPr="00F462F2">
              <w:rPr>
                <w:rFonts w:ascii="Calibri" w:hAnsi="Calibri" w:cs="Calibri"/>
                <w:sz w:val="22"/>
                <w:szCs w:val="22"/>
                <w:lang w:val="es-ES" w:eastAsia="es-CO"/>
              </w:rPr>
              <w:t>Financiero</w:t>
            </w:r>
          </w:p>
        </w:tc>
      </w:tr>
      <w:tr w:rsidR="00F462F2" w:rsidRPr="00F462F2" w14:paraId="4E6C5FF6" w14:textId="77777777" w:rsidTr="00D87369">
        <w:trPr>
          <w:jc w:val="center"/>
        </w:trPr>
        <w:tc>
          <w:tcPr>
            <w:tcW w:w="3117" w:type="dxa"/>
            <w:tcBorders>
              <w:top w:val="nil"/>
              <w:left w:val="single" w:sz="8" w:space="0" w:color="4F81BD"/>
              <w:bottom w:val="nil"/>
              <w:right w:val="single" w:sz="8" w:space="0" w:color="4F81BD"/>
            </w:tcBorders>
            <w:tcMar>
              <w:top w:w="0" w:type="dxa"/>
              <w:left w:w="108" w:type="dxa"/>
              <w:bottom w:w="0" w:type="dxa"/>
              <w:right w:w="108" w:type="dxa"/>
            </w:tcMar>
            <w:hideMark/>
          </w:tcPr>
          <w:p w14:paraId="56B334A9"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Tamaño de la Empresa</w:t>
            </w:r>
          </w:p>
        </w:tc>
        <w:tc>
          <w:tcPr>
            <w:tcW w:w="6318" w:type="dxa"/>
            <w:tcBorders>
              <w:top w:val="nil"/>
              <w:left w:val="nil"/>
              <w:bottom w:val="nil"/>
              <w:right w:val="single" w:sz="8" w:space="0" w:color="4F81BD"/>
            </w:tcBorders>
            <w:tcMar>
              <w:top w:w="0" w:type="dxa"/>
              <w:left w:w="108" w:type="dxa"/>
              <w:bottom w:w="0" w:type="dxa"/>
              <w:right w:w="108" w:type="dxa"/>
            </w:tcMar>
          </w:tcPr>
          <w:p w14:paraId="33F80F36" w14:textId="77777777" w:rsidR="00F462F2" w:rsidRPr="00F462F2" w:rsidRDefault="00F462F2" w:rsidP="00F462F2">
            <w:pPr>
              <w:rPr>
                <w:rFonts w:ascii="Calibri" w:hAnsi="Calibri" w:cs="Calibri"/>
                <w:sz w:val="22"/>
                <w:szCs w:val="22"/>
                <w:lang w:eastAsia="es-CO"/>
              </w:rPr>
            </w:pPr>
            <w:r w:rsidRPr="00F462F2">
              <w:rPr>
                <w:rFonts w:ascii="Calibri" w:hAnsi="Calibri" w:cs="Calibri"/>
                <w:sz w:val="22"/>
                <w:szCs w:val="22"/>
                <w:lang w:eastAsia="es-CO"/>
              </w:rPr>
              <w:t>Activos: 255 billones de pesos (diciembre 2020)</w:t>
            </w:r>
          </w:p>
        </w:tc>
      </w:tr>
      <w:tr w:rsidR="00F462F2" w:rsidRPr="00F462F2" w14:paraId="0F52CDB9" w14:textId="77777777" w:rsidTr="00D87369">
        <w:trPr>
          <w:jc w:val="center"/>
        </w:trPr>
        <w:tc>
          <w:tcPr>
            <w:tcW w:w="3117"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2EAA35F0"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Localización</w:t>
            </w:r>
          </w:p>
        </w:tc>
        <w:tc>
          <w:tcPr>
            <w:tcW w:w="6318"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52E3FC4C" w14:textId="77777777" w:rsidR="00F462F2" w:rsidRPr="00F462F2" w:rsidRDefault="00F462F2" w:rsidP="00F462F2">
            <w:pPr>
              <w:rPr>
                <w:rFonts w:ascii="Calibri" w:hAnsi="Calibri" w:cs="Calibri"/>
                <w:sz w:val="22"/>
                <w:szCs w:val="22"/>
                <w:lang w:val="es-ES" w:eastAsia="es-CO"/>
              </w:rPr>
            </w:pPr>
            <w:r w:rsidRPr="00F462F2">
              <w:rPr>
                <w:rFonts w:ascii="Calibri" w:hAnsi="Calibri" w:cs="Calibri"/>
                <w:sz w:val="22"/>
                <w:szCs w:val="22"/>
                <w:lang w:val="es-ES" w:eastAsia="es-CO"/>
              </w:rPr>
              <w:t>Colombia</w:t>
            </w:r>
          </w:p>
        </w:tc>
      </w:tr>
      <w:tr w:rsidR="00F462F2" w:rsidRPr="00F462F2" w14:paraId="79F3DE8D" w14:textId="77777777" w:rsidTr="00D87369">
        <w:trPr>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76AAEB13"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 xml:space="preserve">Total de Empleados </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160932F0" w14:textId="77777777" w:rsidR="00F462F2" w:rsidRPr="00F462F2" w:rsidRDefault="00F462F2" w:rsidP="00F462F2">
            <w:pPr>
              <w:rPr>
                <w:rFonts w:ascii="Calibri" w:hAnsi="Calibri" w:cs="Calibri"/>
                <w:sz w:val="22"/>
                <w:szCs w:val="22"/>
                <w:lang w:val="es-ES" w:eastAsia="es-CO"/>
              </w:rPr>
            </w:pPr>
            <w:r w:rsidRPr="00F462F2">
              <w:rPr>
                <w:rFonts w:ascii="Calibri" w:hAnsi="Calibri" w:cs="Calibri"/>
                <w:sz w:val="22"/>
                <w:szCs w:val="22"/>
                <w:lang w:val="es-ES" w:eastAsia="es-CO"/>
              </w:rPr>
              <w:t>21.415</w:t>
            </w:r>
          </w:p>
        </w:tc>
      </w:tr>
      <w:tr w:rsidR="00F462F2" w:rsidRPr="00F462F2" w14:paraId="29924D6E" w14:textId="77777777" w:rsidTr="00D87369">
        <w:trPr>
          <w:trHeight w:val="420"/>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1BADBE5C"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Porcentaje de Mujeres</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736CA211" w14:textId="77777777" w:rsidR="00F462F2" w:rsidRPr="00F462F2" w:rsidRDefault="00F462F2" w:rsidP="00F462F2">
            <w:pPr>
              <w:rPr>
                <w:rFonts w:ascii="Calibri" w:hAnsi="Calibri" w:cs="Calibri"/>
                <w:sz w:val="22"/>
                <w:szCs w:val="22"/>
                <w:lang w:val="es-ES" w:eastAsia="es-CO"/>
              </w:rPr>
            </w:pPr>
            <w:r w:rsidRPr="00F462F2">
              <w:rPr>
                <w:rFonts w:ascii="Calibri" w:hAnsi="Calibri" w:cs="Calibri"/>
                <w:sz w:val="22"/>
                <w:szCs w:val="22"/>
                <w:lang w:val="es-ES" w:eastAsia="es-CO"/>
              </w:rPr>
              <w:t>61%</w:t>
            </w:r>
          </w:p>
        </w:tc>
      </w:tr>
      <w:tr w:rsidR="00F462F2" w:rsidRPr="00F462F2" w14:paraId="064083E9" w14:textId="77777777" w:rsidTr="00D87369">
        <w:trPr>
          <w:trHeight w:val="420"/>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6CB13420"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Porcentaje de Hombres</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65298E2F" w14:textId="77777777" w:rsidR="00F462F2" w:rsidRPr="00F462F2" w:rsidRDefault="00F462F2" w:rsidP="00F462F2">
            <w:pPr>
              <w:rPr>
                <w:rFonts w:ascii="Calibri" w:hAnsi="Calibri" w:cs="Calibri"/>
                <w:sz w:val="22"/>
                <w:szCs w:val="22"/>
                <w:lang w:val="es-ES" w:eastAsia="es-CO"/>
              </w:rPr>
            </w:pPr>
            <w:r w:rsidRPr="00F462F2">
              <w:rPr>
                <w:rFonts w:ascii="Calibri" w:hAnsi="Calibri" w:cs="Calibri"/>
                <w:sz w:val="22"/>
                <w:szCs w:val="22"/>
                <w:lang w:val="es-ES" w:eastAsia="es-CO"/>
              </w:rPr>
              <w:t>39%</w:t>
            </w:r>
          </w:p>
        </w:tc>
      </w:tr>
      <w:tr w:rsidR="00F462F2" w:rsidRPr="00F462F2" w14:paraId="0A14A1E4" w14:textId="77777777" w:rsidTr="00D87369">
        <w:trPr>
          <w:trHeight w:val="420"/>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74112528"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Datos de Contacto</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50CB737B" w14:textId="77777777" w:rsidR="00F462F2" w:rsidRPr="00F462F2" w:rsidRDefault="00F462F2" w:rsidP="00F462F2">
            <w:pPr>
              <w:rPr>
                <w:rFonts w:ascii="Calibri" w:hAnsi="Calibri" w:cs="Calibri"/>
                <w:sz w:val="22"/>
                <w:szCs w:val="22"/>
                <w:lang w:val="es-ES" w:eastAsia="es-CO"/>
              </w:rPr>
            </w:pPr>
            <w:r w:rsidRPr="00F462F2">
              <w:rPr>
                <w:rFonts w:ascii="Calibri" w:hAnsi="Calibri" w:cs="Calibri"/>
                <w:sz w:val="22"/>
                <w:szCs w:val="22"/>
                <w:lang w:val="es-ES" w:eastAsia="es-CO"/>
              </w:rPr>
              <w:t xml:space="preserve">Sara Uribe Arango </w:t>
            </w:r>
            <w:hyperlink r:id="rId7" w:history="1">
              <w:r w:rsidRPr="00F462F2">
                <w:rPr>
                  <w:rFonts w:ascii="Calibri" w:hAnsi="Calibri" w:cs="Calibri"/>
                  <w:color w:val="0563C1" w:themeColor="hyperlink"/>
                  <w:sz w:val="22"/>
                  <w:szCs w:val="22"/>
                  <w:u w:val="single"/>
                  <w:lang w:val="es-ES" w:eastAsia="es-CO"/>
                </w:rPr>
                <w:t>sauarang@bancolombia.com.co</w:t>
              </w:r>
            </w:hyperlink>
          </w:p>
          <w:p w14:paraId="281A0A94" w14:textId="77777777" w:rsidR="00F462F2" w:rsidRPr="00F462F2" w:rsidRDefault="00F462F2" w:rsidP="00F462F2">
            <w:pPr>
              <w:rPr>
                <w:rFonts w:ascii="Calibri" w:hAnsi="Calibri" w:cs="Calibri"/>
                <w:sz w:val="22"/>
                <w:szCs w:val="22"/>
                <w:lang w:val="es-ES" w:eastAsia="es-CO"/>
              </w:rPr>
            </w:pPr>
            <w:r w:rsidRPr="00F462F2">
              <w:rPr>
                <w:rFonts w:ascii="Calibri" w:hAnsi="Calibri" w:cs="Calibri"/>
                <w:sz w:val="22"/>
                <w:szCs w:val="22"/>
                <w:lang w:val="es-ES" w:eastAsia="es-CO"/>
              </w:rPr>
              <w:t xml:space="preserve">Laura Franco Arango </w:t>
            </w:r>
            <w:hyperlink r:id="rId8" w:history="1">
              <w:r w:rsidRPr="00F462F2">
                <w:rPr>
                  <w:rFonts w:ascii="Calibri" w:hAnsi="Calibri" w:cs="Calibri"/>
                  <w:color w:val="0563C1" w:themeColor="hyperlink"/>
                  <w:sz w:val="22"/>
                  <w:szCs w:val="22"/>
                  <w:u w:val="single"/>
                  <w:lang w:val="es-ES" w:eastAsia="es-CO"/>
                </w:rPr>
                <w:t>lafarang@bancolombia.com.co</w:t>
              </w:r>
            </w:hyperlink>
            <w:r w:rsidRPr="00F462F2">
              <w:rPr>
                <w:rFonts w:ascii="Calibri" w:hAnsi="Calibri" w:cs="Calibri"/>
                <w:sz w:val="22"/>
                <w:szCs w:val="22"/>
                <w:lang w:val="es-ES" w:eastAsia="es-CO"/>
              </w:rPr>
              <w:t xml:space="preserve"> </w:t>
            </w:r>
          </w:p>
        </w:tc>
      </w:tr>
      <w:tr w:rsidR="00F462F2" w:rsidRPr="00F462F2" w14:paraId="34958BD6" w14:textId="77777777" w:rsidTr="00D87369">
        <w:trPr>
          <w:trHeight w:val="517"/>
          <w:jc w:val="center"/>
        </w:trPr>
        <w:tc>
          <w:tcPr>
            <w:tcW w:w="9435" w:type="dxa"/>
            <w:gridSpan w:val="2"/>
            <w:tcBorders>
              <w:top w:val="nil"/>
              <w:left w:val="single" w:sz="8" w:space="0" w:color="4F81BD"/>
              <w:bottom w:val="single" w:sz="8" w:space="0" w:color="4F81BD"/>
              <w:right w:val="single" w:sz="8" w:space="0" w:color="4F81BD"/>
            </w:tcBorders>
            <w:shd w:val="clear" w:color="auto" w:fill="4F81BD"/>
            <w:tcMar>
              <w:top w:w="0" w:type="dxa"/>
              <w:left w:w="108" w:type="dxa"/>
              <w:bottom w:w="0" w:type="dxa"/>
              <w:right w:w="108" w:type="dxa"/>
            </w:tcMar>
            <w:vAlign w:val="center"/>
            <w:hideMark/>
          </w:tcPr>
          <w:p w14:paraId="54935E4D" w14:textId="77777777" w:rsidR="00F462F2" w:rsidRPr="00F462F2" w:rsidRDefault="00F462F2" w:rsidP="00F462F2">
            <w:pPr>
              <w:jc w:val="center"/>
              <w:rPr>
                <w:rFonts w:ascii="Calibri" w:hAnsi="Calibri" w:cs="Calibri"/>
                <w:b/>
                <w:bCs/>
                <w:sz w:val="22"/>
                <w:szCs w:val="22"/>
                <w:lang w:eastAsia="es-CO"/>
              </w:rPr>
            </w:pPr>
            <w:r w:rsidRPr="00F462F2">
              <w:rPr>
                <w:rFonts w:ascii="Calibri" w:hAnsi="Calibri" w:cs="Calibri"/>
                <w:b/>
                <w:bCs/>
                <w:color w:val="FFFFFF"/>
                <w:sz w:val="22"/>
                <w:szCs w:val="22"/>
                <w:lang w:eastAsia="es-CO"/>
              </w:rPr>
              <w:t>CARACTERIZACIÓN DE LA BUENA PRÁCTICA</w:t>
            </w:r>
          </w:p>
        </w:tc>
      </w:tr>
      <w:tr w:rsidR="00F462F2" w:rsidRPr="00F462F2" w14:paraId="603FE223" w14:textId="77777777" w:rsidTr="00D87369">
        <w:trPr>
          <w:trHeight w:val="737"/>
          <w:jc w:val="center"/>
        </w:trPr>
        <w:tc>
          <w:tcPr>
            <w:tcW w:w="3117" w:type="dxa"/>
            <w:tcBorders>
              <w:top w:val="nil"/>
              <w:left w:val="single" w:sz="8" w:space="0" w:color="4F81BD"/>
              <w:bottom w:val="single" w:sz="8" w:space="0" w:color="8496B0"/>
              <w:right w:val="single" w:sz="8" w:space="0" w:color="4F81BD"/>
            </w:tcBorders>
            <w:tcMar>
              <w:top w:w="0" w:type="dxa"/>
              <w:left w:w="108" w:type="dxa"/>
              <w:bottom w:w="0" w:type="dxa"/>
              <w:right w:w="108" w:type="dxa"/>
            </w:tcMar>
            <w:hideMark/>
          </w:tcPr>
          <w:p w14:paraId="68225EBE"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Fecha de inicio de la implementación de la buena práctica</w:t>
            </w:r>
          </w:p>
        </w:tc>
        <w:tc>
          <w:tcPr>
            <w:tcW w:w="6318" w:type="dxa"/>
            <w:tcBorders>
              <w:top w:val="nil"/>
              <w:left w:val="nil"/>
              <w:bottom w:val="single" w:sz="8" w:space="0" w:color="8496B0"/>
              <w:right w:val="single" w:sz="8" w:space="0" w:color="4F81BD"/>
            </w:tcBorders>
            <w:tcMar>
              <w:top w:w="0" w:type="dxa"/>
              <w:left w:w="108" w:type="dxa"/>
              <w:bottom w:w="0" w:type="dxa"/>
              <w:right w:w="108" w:type="dxa"/>
            </w:tcMar>
          </w:tcPr>
          <w:p w14:paraId="09997C3D" w14:textId="77777777" w:rsidR="00F462F2" w:rsidRPr="00F462F2" w:rsidRDefault="00F462F2" w:rsidP="00F462F2">
            <w:pPr>
              <w:rPr>
                <w:rFonts w:ascii="Calibri" w:hAnsi="Calibri" w:cs="Calibri"/>
                <w:sz w:val="22"/>
                <w:szCs w:val="22"/>
                <w:lang w:val="es-ES" w:eastAsia="es-CO"/>
              </w:rPr>
            </w:pPr>
            <w:r w:rsidRPr="00F462F2">
              <w:rPr>
                <w:rFonts w:ascii="Calibri" w:hAnsi="Calibri" w:cs="Calibri"/>
                <w:sz w:val="22"/>
                <w:szCs w:val="22"/>
                <w:lang w:val="es-ES" w:eastAsia="es-CO"/>
              </w:rPr>
              <w:t>Junio de 2020</w:t>
            </w:r>
          </w:p>
        </w:tc>
      </w:tr>
      <w:tr w:rsidR="00F462F2" w:rsidRPr="00F462F2" w14:paraId="22A6C1BB" w14:textId="77777777" w:rsidTr="00D87369">
        <w:trPr>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0DD3387A" w14:textId="77777777" w:rsidR="00F462F2" w:rsidRPr="00F462F2" w:rsidRDefault="00F462F2" w:rsidP="00F462F2">
            <w:pPr>
              <w:rPr>
                <w:rFonts w:ascii="Calibri" w:hAnsi="Calibri" w:cs="Calibri"/>
                <w:b/>
                <w:bCs/>
                <w:sz w:val="22"/>
                <w:szCs w:val="22"/>
                <w:lang w:eastAsia="es-CO"/>
              </w:rPr>
            </w:pPr>
            <w:r w:rsidRPr="00F462F2">
              <w:rPr>
                <w:rFonts w:ascii="Calibri" w:hAnsi="Calibri" w:cs="Calibri"/>
                <w:b/>
                <w:bCs/>
                <w:sz w:val="22"/>
                <w:szCs w:val="22"/>
                <w:lang w:eastAsia="es-CO"/>
              </w:rPr>
              <w:t>Nombre de la Buena Práctica</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7B2A590A" w14:textId="77777777" w:rsidR="00F462F2" w:rsidRPr="00F462F2" w:rsidRDefault="00F462F2" w:rsidP="00F462F2">
            <w:pPr>
              <w:rPr>
                <w:rFonts w:ascii="Calibri" w:hAnsi="Calibri" w:cs="Calibri"/>
                <w:sz w:val="22"/>
                <w:szCs w:val="22"/>
                <w:lang w:eastAsia="es-CO"/>
              </w:rPr>
            </w:pPr>
            <w:r w:rsidRPr="00F462F2">
              <w:rPr>
                <w:rFonts w:ascii="Calibri" w:hAnsi="Calibri" w:cs="Calibri"/>
                <w:sz w:val="22"/>
                <w:szCs w:val="22"/>
                <w:lang w:eastAsia="es-CO"/>
              </w:rPr>
              <w:t>Línea Contigo</w:t>
            </w:r>
          </w:p>
        </w:tc>
      </w:tr>
      <w:tr w:rsidR="00F462F2" w:rsidRPr="00F462F2" w14:paraId="51DE243F" w14:textId="77777777" w:rsidTr="00D87369">
        <w:trPr>
          <w:jc w:val="center"/>
        </w:trPr>
        <w:tc>
          <w:tcPr>
            <w:tcW w:w="3117" w:type="dxa"/>
            <w:tcBorders>
              <w:top w:val="nil"/>
              <w:left w:val="single" w:sz="8" w:space="0" w:color="4F81BD"/>
              <w:bottom w:val="nil"/>
              <w:right w:val="single" w:sz="8" w:space="0" w:color="4F81BD"/>
            </w:tcBorders>
            <w:tcMar>
              <w:top w:w="0" w:type="dxa"/>
              <w:left w:w="108" w:type="dxa"/>
              <w:bottom w:w="0" w:type="dxa"/>
              <w:right w:w="108" w:type="dxa"/>
            </w:tcMar>
            <w:hideMark/>
          </w:tcPr>
          <w:p w14:paraId="7262E864" w14:textId="77777777" w:rsidR="00F462F2" w:rsidRPr="00F462F2" w:rsidRDefault="00F462F2" w:rsidP="00F462F2">
            <w:pPr>
              <w:jc w:val="both"/>
              <w:rPr>
                <w:rFonts w:ascii="Calibri" w:hAnsi="Calibri" w:cs="Calibri"/>
                <w:b/>
                <w:bCs/>
                <w:sz w:val="22"/>
                <w:szCs w:val="22"/>
                <w:lang w:eastAsia="es-CO"/>
              </w:rPr>
            </w:pPr>
            <w:r w:rsidRPr="00F462F2">
              <w:rPr>
                <w:rFonts w:ascii="Calibri" w:hAnsi="Calibri" w:cs="Calibri"/>
                <w:b/>
                <w:bCs/>
                <w:sz w:val="22"/>
                <w:szCs w:val="22"/>
                <w:lang w:eastAsia="es-CO"/>
              </w:rPr>
              <w:t>Problema o necesidad que se intervino</w:t>
            </w:r>
          </w:p>
        </w:tc>
        <w:tc>
          <w:tcPr>
            <w:tcW w:w="6318" w:type="dxa"/>
            <w:tcBorders>
              <w:top w:val="nil"/>
              <w:left w:val="nil"/>
              <w:bottom w:val="nil"/>
              <w:right w:val="single" w:sz="8" w:space="0" w:color="4F81BD"/>
            </w:tcBorders>
            <w:tcMar>
              <w:top w:w="0" w:type="dxa"/>
              <w:left w:w="108" w:type="dxa"/>
              <w:bottom w:w="0" w:type="dxa"/>
              <w:right w:w="108" w:type="dxa"/>
            </w:tcMar>
          </w:tcPr>
          <w:p w14:paraId="577A2CC7"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La violencia contra las mujeres y las niñas es una de las más graves violaciones de los Derechos Humanos, la más arraigada, naturalizada y extendida en el mundo. Mujeres y niñas de todos los rincones del planeta continúan experimentándola tanto en privado como en público. Según el PNUD, 1 de cada 3 mujeres en el mundo ha experimentado violencia física y/o sexual.</w:t>
            </w:r>
          </w:p>
          <w:p w14:paraId="0514B03A" w14:textId="77777777" w:rsidR="00F462F2" w:rsidRPr="00F462F2" w:rsidRDefault="00F462F2" w:rsidP="00F462F2">
            <w:pPr>
              <w:jc w:val="both"/>
              <w:rPr>
                <w:rFonts w:ascii="Calibri" w:hAnsi="Calibri" w:cs="Calibri"/>
                <w:sz w:val="22"/>
                <w:szCs w:val="22"/>
                <w:lang w:eastAsia="es-CO"/>
              </w:rPr>
            </w:pPr>
          </w:p>
          <w:p w14:paraId="05B9640F"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 xml:space="preserve">De hecho, durante la pandemia, y en especial en la época de aislamiento estricto, el aumento de las tensiones en el hogar por la necesidad de producir ingresos, un mayor número de actividades de estudio, trabajo y oficios, y los cuidados especiales que requieren las personas dependientes, convirtió muchas más casas en lugares poco seguros para algunas mujeres. En Colombia, por ejemplo, el aumento de llamadas de auxilio por parte de mujeres aumentó en un 79% en este tiempo. </w:t>
            </w:r>
          </w:p>
          <w:p w14:paraId="344055C3" w14:textId="77777777" w:rsidR="00F462F2" w:rsidRPr="00F462F2" w:rsidRDefault="00F462F2" w:rsidP="00F462F2">
            <w:pPr>
              <w:jc w:val="both"/>
              <w:rPr>
                <w:rFonts w:ascii="Calibri" w:hAnsi="Calibri" w:cs="Calibri"/>
                <w:sz w:val="22"/>
                <w:szCs w:val="22"/>
                <w:lang w:eastAsia="es-CO"/>
              </w:rPr>
            </w:pPr>
          </w:p>
          <w:p w14:paraId="2326EA2A"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Uno de los desafíos clave en la prevención y erradicación de la violación y el acoso sexual es la sensibilización sobre qué es violencia de género, mucho más allá de la física o sexual, entendiendo además que estas situaciones pueden ser evitables, se pueden prevenir y todos podemos contribuir a que no se extienda ni se repita.</w:t>
            </w:r>
          </w:p>
          <w:p w14:paraId="26F21C4F" w14:textId="77777777" w:rsidR="00F462F2" w:rsidRPr="00F462F2" w:rsidRDefault="00F462F2" w:rsidP="00F462F2">
            <w:pPr>
              <w:jc w:val="both"/>
              <w:rPr>
                <w:rFonts w:ascii="Calibri" w:hAnsi="Calibri" w:cs="Calibri"/>
                <w:sz w:val="22"/>
                <w:szCs w:val="22"/>
                <w:lang w:eastAsia="es-CO"/>
              </w:rPr>
            </w:pPr>
          </w:p>
          <w:p w14:paraId="3134CE61"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lastRenderedPageBreak/>
              <w:t xml:space="preserve">La tolerancia social e institucional, la impunidad, la dificultad para el acceso a servicios oportunos y de calidad, entre otros factores, contribuyen a la ocurrencia y sostenimiento de todas las formas de violencias contra las mujeres. Esto requiere del compromiso del sector público y privado con los derechos de las mujeres y la equidad.  </w:t>
            </w:r>
          </w:p>
        </w:tc>
      </w:tr>
      <w:tr w:rsidR="00F462F2" w:rsidRPr="00F462F2" w14:paraId="13C2F36F" w14:textId="77777777" w:rsidTr="00D87369">
        <w:trPr>
          <w:jc w:val="center"/>
        </w:trPr>
        <w:tc>
          <w:tcPr>
            <w:tcW w:w="3117" w:type="dxa"/>
            <w:tcBorders>
              <w:top w:val="single" w:sz="8" w:space="0" w:color="4F81BD"/>
              <w:left w:val="single" w:sz="8" w:space="0" w:color="4F81BD"/>
              <w:bottom w:val="single" w:sz="8" w:space="0" w:color="4F81BD"/>
              <w:right w:val="single" w:sz="8" w:space="0" w:color="4F81BD"/>
            </w:tcBorders>
            <w:tcMar>
              <w:top w:w="0" w:type="dxa"/>
              <w:left w:w="108" w:type="dxa"/>
              <w:bottom w:w="0" w:type="dxa"/>
              <w:right w:w="108" w:type="dxa"/>
            </w:tcMar>
            <w:hideMark/>
          </w:tcPr>
          <w:p w14:paraId="522169E4" w14:textId="77777777" w:rsidR="00F462F2" w:rsidRPr="00F462F2" w:rsidRDefault="00F462F2" w:rsidP="00F462F2">
            <w:pPr>
              <w:jc w:val="both"/>
              <w:rPr>
                <w:rFonts w:ascii="Calibri" w:hAnsi="Calibri" w:cs="Calibri"/>
                <w:b/>
                <w:bCs/>
                <w:sz w:val="22"/>
                <w:szCs w:val="22"/>
                <w:lang w:eastAsia="es-CO"/>
              </w:rPr>
            </w:pPr>
            <w:r w:rsidRPr="00F462F2">
              <w:rPr>
                <w:rFonts w:ascii="Calibri" w:hAnsi="Calibri" w:cs="Calibri"/>
                <w:b/>
                <w:bCs/>
                <w:sz w:val="22"/>
                <w:szCs w:val="22"/>
                <w:lang w:eastAsia="es-CO"/>
              </w:rPr>
              <w:lastRenderedPageBreak/>
              <w:t>Antecedentes: ¿Cómo inició?</w:t>
            </w:r>
          </w:p>
        </w:tc>
        <w:tc>
          <w:tcPr>
            <w:tcW w:w="6318" w:type="dxa"/>
            <w:tcBorders>
              <w:top w:val="single" w:sz="8" w:space="0" w:color="4F81BD"/>
              <w:left w:val="nil"/>
              <w:bottom w:val="single" w:sz="8" w:space="0" w:color="4F81BD"/>
              <w:right w:val="single" w:sz="8" w:space="0" w:color="4F81BD"/>
            </w:tcBorders>
            <w:tcMar>
              <w:top w:w="0" w:type="dxa"/>
              <w:left w:w="108" w:type="dxa"/>
              <w:bottom w:w="0" w:type="dxa"/>
              <w:right w:w="108" w:type="dxa"/>
            </w:tcMar>
          </w:tcPr>
          <w:p w14:paraId="66E823F8" w14:textId="77777777" w:rsidR="00F462F2" w:rsidRPr="00F462F2" w:rsidRDefault="00F462F2" w:rsidP="00F462F2">
            <w:pPr>
              <w:jc w:val="both"/>
              <w:rPr>
                <w:rFonts w:ascii="Calibri" w:hAnsi="Calibri" w:cs="Calibri"/>
                <w:sz w:val="22"/>
                <w:szCs w:val="22"/>
                <w:lang w:eastAsia="es-CO"/>
              </w:rPr>
            </w:pPr>
          </w:p>
          <w:p w14:paraId="72B8E09E"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 xml:space="preserve">Desde nuestros rasgos culturales y el enfoque que tenemos como organización de orientar nuestra cultura y procesos a las personas, su desarrollo y bienestar, trabajamos para garantizar la vivencia de los derechos humanos y acompañar a nuestros empleados a tener una vida en equilibrio, sana y con las condiciones óptimas, movilizando, a través de los diferentes procesos de talento que hoy tenemos, su crecimiento profesional y personal. </w:t>
            </w:r>
          </w:p>
          <w:p w14:paraId="398E1372" w14:textId="77777777" w:rsidR="00F462F2" w:rsidRPr="00F462F2" w:rsidRDefault="00F462F2" w:rsidP="00F462F2">
            <w:pPr>
              <w:jc w:val="both"/>
              <w:rPr>
                <w:rFonts w:ascii="Calibri" w:hAnsi="Calibri" w:cs="Calibri"/>
                <w:sz w:val="22"/>
                <w:szCs w:val="22"/>
                <w:lang w:eastAsia="es-CO"/>
              </w:rPr>
            </w:pPr>
          </w:p>
          <w:p w14:paraId="1A8CD49B"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Sin embargo, somos conscientes de que, en algunos casos, de forma explícita o silenciosa, la violencia de género se convierte en una barrera para este objetivo.</w:t>
            </w:r>
          </w:p>
          <w:p w14:paraId="27C51022" w14:textId="77777777" w:rsidR="00F462F2" w:rsidRPr="00F462F2" w:rsidRDefault="00F462F2" w:rsidP="00F462F2">
            <w:pPr>
              <w:jc w:val="both"/>
              <w:rPr>
                <w:rFonts w:ascii="Calibri" w:hAnsi="Calibri" w:cs="Calibri"/>
                <w:sz w:val="22"/>
                <w:szCs w:val="22"/>
                <w:lang w:eastAsia="es-CO"/>
              </w:rPr>
            </w:pPr>
          </w:p>
          <w:p w14:paraId="4E08A950"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 xml:space="preserve">La violencia de género, suceda o no en nuestras instalaciones, es un asunto que nos incumbe a todos, líderes y empleados, del que debemos ser conscientes y contra el cual tenemos que luchar, logrando que todas las personas reconozcan que no es una situación válida y promoviendo el cambio de comportamientos en ellos para no acudir a esto. </w:t>
            </w:r>
          </w:p>
          <w:p w14:paraId="3D544E69" w14:textId="77777777" w:rsidR="00F462F2" w:rsidRPr="00F462F2" w:rsidRDefault="00F462F2" w:rsidP="00F462F2">
            <w:pPr>
              <w:jc w:val="both"/>
              <w:rPr>
                <w:rFonts w:ascii="Calibri" w:hAnsi="Calibri" w:cs="Calibri"/>
                <w:sz w:val="22"/>
                <w:szCs w:val="22"/>
                <w:lang w:eastAsia="es-CO"/>
              </w:rPr>
            </w:pPr>
          </w:p>
          <w:p w14:paraId="6650DEA5"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 xml:space="preserve">Asegurar para nuestros empleados el goce de una vida sin violencias, como condición para alcanzar la equidad de género, hace parte de nuestras convicciones y de nuestros compromisos con el desarrollo sostenible, como lo expresamos con nuestra vinculación a los principios de Empoderamiento de la Mujer de la ONU. </w:t>
            </w:r>
          </w:p>
          <w:p w14:paraId="477A4B3D" w14:textId="77777777" w:rsidR="00F462F2" w:rsidRPr="00F462F2" w:rsidRDefault="00F462F2" w:rsidP="00F462F2">
            <w:pPr>
              <w:jc w:val="both"/>
              <w:rPr>
                <w:rFonts w:ascii="Calibri" w:hAnsi="Calibri" w:cs="Calibri"/>
                <w:sz w:val="22"/>
                <w:szCs w:val="22"/>
                <w:lang w:eastAsia="es-CO"/>
              </w:rPr>
            </w:pPr>
          </w:p>
          <w:p w14:paraId="39A54132"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 xml:space="preserve">El primer paso es el trabajo interno con quienes hacen parte de la organización y sus círculos sociales más cercanos, promoviendo una cultura de conciencia de la violencia de género, previniendo y acompañando este tipo de situaciones. Por eso, en junio de 2020 lanzamos la línea especializada de atención sicológica, llamada Contigo. </w:t>
            </w:r>
          </w:p>
        </w:tc>
      </w:tr>
      <w:tr w:rsidR="00F462F2" w:rsidRPr="00F462F2" w14:paraId="11AEF7C9" w14:textId="77777777" w:rsidTr="00D87369">
        <w:trPr>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39019BC0" w14:textId="77777777" w:rsidR="00F462F2" w:rsidRPr="00F462F2" w:rsidRDefault="00F462F2" w:rsidP="00F462F2">
            <w:pPr>
              <w:jc w:val="both"/>
              <w:rPr>
                <w:rFonts w:ascii="Calibri" w:hAnsi="Calibri" w:cs="Calibri"/>
                <w:b/>
                <w:bCs/>
                <w:sz w:val="22"/>
                <w:szCs w:val="22"/>
                <w:lang w:eastAsia="es-CO"/>
              </w:rPr>
            </w:pPr>
            <w:r w:rsidRPr="00F462F2">
              <w:rPr>
                <w:rFonts w:ascii="Calibri" w:hAnsi="Calibri" w:cs="Calibri"/>
                <w:b/>
                <w:bCs/>
                <w:sz w:val="22"/>
                <w:szCs w:val="22"/>
                <w:lang w:eastAsia="es-CO"/>
              </w:rPr>
              <w:t>Descripción de la buena práctica ¿En qué consiste?</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0DC0F7F5" w14:textId="77777777" w:rsidR="00F462F2" w:rsidRPr="00F462F2" w:rsidRDefault="00F462F2" w:rsidP="00F462F2">
            <w:pPr>
              <w:jc w:val="both"/>
              <w:rPr>
                <w:rFonts w:ascii="Calibri" w:hAnsi="Calibri" w:cs="Calibri"/>
                <w:sz w:val="22"/>
                <w:szCs w:val="22"/>
                <w:lang w:val="es-ES" w:eastAsia="es-CO"/>
              </w:rPr>
            </w:pPr>
            <w:r w:rsidRPr="00F462F2">
              <w:rPr>
                <w:rFonts w:ascii="Calibri" w:hAnsi="Calibri" w:cs="Calibri"/>
                <w:sz w:val="22"/>
                <w:szCs w:val="22"/>
                <w:lang w:val="es-ES" w:eastAsia="es-CO"/>
              </w:rPr>
              <w:t xml:space="preserve">La Línea Contigo es una línea de acompañamiento especializado que ofrece apoyo a los empleados de Bancolombia en algunas de las problemáticas más sensibles en materia de género, y que se han profundizado durante la pandemia del COVID-19. </w:t>
            </w:r>
          </w:p>
          <w:p w14:paraId="3EF5385D" w14:textId="77777777" w:rsidR="00F462F2" w:rsidRPr="00F462F2" w:rsidRDefault="00F462F2" w:rsidP="00F462F2">
            <w:pPr>
              <w:jc w:val="both"/>
              <w:rPr>
                <w:rFonts w:ascii="Calibri" w:hAnsi="Calibri" w:cs="Calibri"/>
                <w:sz w:val="22"/>
                <w:szCs w:val="22"/>
                <w:lang w:val="es-ES" w:eastAsia="es-CO"/>
              </w:rPr>
            </w:pPr>
          </w:p>
          <w:p w14:paraId="608010C3" w14:textId="77777777" w:rsidR="00F462F2" w:rsidRPr="00F462F2" w:rsidRDefault="00F462F2" w:rsidP="00F462F2">
            <w:pPr>
              <w:jc w:val="both"/>
              <w:rPr>
                <w:rFonts w:ascii="Calibri" w:hAnsi="Calibri" w:cs="Calibri"/>
                <w:sz w:val="22"/>
                <w:szCs w:val="22"/>
                <w:lang w:val="es-ES" w:eastAsia="es-CO"/>
              </w:rPr>
            </w:pPr>
            <w:r w:rsidRPr="00F462F2">
              <w:rPr>
                <w:rFonts w:ascii="Calibri" w:hAnsi="Calibri" w:cs="Calibri"/>
                <w:sz w:val="22"/>
                <w:szCs w:val="22"/>
                <w:lang w:val="es-ES" w:eastAsia="es-CO"/>
              </w:rPr>
              <w:t>Esta solución contribuye a su bienestar, como una de las condiciones claves para que puedan elegir y cumplir libremente su proyecto de vida.</w:t>
            </w:r>
          </w:p>
          <w:p w14:paraId="2C1005E6" w14:textId="77777777" w:rsidR="00F462F2" w:rsidRPr="00F462F2" w:rsidRDefault="00F462F2" w:rsidP="00F462F2">
            <w:pPr>
              <w:jc w:val="both"/>
              <w:rPr>
                <w:rFonts w:ascii="Calibri" w:hAnsi="Calibri" w:cs="Calibri"/>
                <w:sz w:val="22"/>
                <w:szCs w:val="22"/>
                <w:lang w:val="es-ES" w:eastAsia="es-CO"/>
              </w:rPr>
            </w:pPr>
          </w:p>
          <w:p w14:paraId="7DBF0219" w14:textId="77777777" w:rsidR="00F462F2" w:rsidRPr="00F462F2" w:rsidRDefault="00F462F2" w:rsidP="00F462F2">
            <w:pPr>
              <w:jc w:val="both"/>
              <w:rPr>
                <w:rFonts w:ascii="Calibri" w:hAnsi="Calibri" w:cs="Calibri"/>
                <w:sz w:val="22"/>
                <w:szCs w:val="22"/>
                <w:lang w:val="es-ES" w:eastAsia="es-CO"/>
              </w:rPr>
            </w:pPr>
            <w:r w:rsidRPr="00F462F2">
              <w:rPr>
                <w:rFonts w:ascii="Calibri" w:hAnsi="Calibri" w:cs="Calibri"/>
                <w:sz w:val="22"/>
                <w:szCs w:val="22"/>
                <w:lang w:val="es-ES" w:eastAsia="es-CO"/>
              </w:rPr>
              <w:t>A través de Contigo, es posible recibir orientación en temas como:</w:t>
            </w:r>
          </w:p>
          <w:p w14:paraId="23C0661B" w14:textId="77777777" w:rsidR="00F462F2" w:rsidRPr="00F462F2" w:rsidRDefault="00F462F2" w:rsidP="00F462F2">
            <w:pPr>
              <w:numPr>
                <w:ilvl w:val="0"/>
                <w:numId w:val="2"/>
              </w:numPr>
              <w:contextualSpacing/>
              <w:jc w:val="both"/>
              <w:rPr>
                <w:rFonts w:ascii="Calibri" w:hAnsi="Calibri" w:cs="Calibri"/>
                <w:sz w:val="22"/>
                <w:szCs w:val="22"/>
                <w:lang w:val="es-ES" w:eastAsia="es-CO"/>
              </w:rPr>
            </w:pPr>
            <w:r w:rsidRPr="00F462F2">
              <w:rPr>
                <w:rFonts w:ascii="Calibri" w:hAnsi="Calibri" w:cs="Calibri"/>
                <w:sz w:val="22"/>
                <w:szCs w:val="22"/>
                <w:lang w:val="es-ES" w:eastAsia="es-CO"/>
              </w:rPr>
              <w:t>Conflictos familiares y violencia intrafamiliar.</w:t>
            </w:r>
          </w:p>
          <w:p w14:paraId="2719D860" w14:textId="77777777" w:rsidR="00F462F2" w:rsidRPr="00F462F2" w:rsidRDefault="00F462F2" w:rsidP="00F462F2">
            <w:pPr>
              <w:numPr>
                <w:ilvl w:val="0"/>
                <w:numId w:val="2"/>
              </w:numPr>
              <w:contextualSpacing/>
              <w:jc w:val="both"/>
              <w:rPr>
                <w:rFonts w:ascii="Calibri" w:hAnsi="Calibri" w:cs="Calibri"/>
                <w:sz w:val="22"/>
                <w:szCs w:val="22"/>
                <w:lang w:val="es-ES" w:eastAsia="es-CO"/>
              </w:rPr>
            </w:pPr>
            <w:r w:rsidRPr="00F462F2">
              <w:rPr>
                <w:rFonts w:ascii="Calibri" w:hAnsi="Calibri" w:cs="Calibri"/>
                <w:sz w:val="22"/>
                <w:szCs w:val="22"/>
                <w:lang w:val="es-ES" w:eastAsia="es-CO"/>
              </w:rPr>
              <w:t>Dependencia emocional.</w:t>
            </w:r>
          </w:p>
          <w:p w14:paraId="258EA80E" w14:textId="77777777" w:rsidR="00F462F2" w:rsidRPr="00F462F2" w:rsidRDefault="00F462F2" w:rsidP="00F462F2">
            <w:pPr>
              <w:numPr>
                <w:ilvl w:val="0"/>
                <w:numId w:val="2"/>
              </w:numPr>
              <w:contextualSpacing/>
              <w:jc w:val="both"/>
              <w:rPr>
                <w:rFonts w:ascii="Calibri" w:hAnsi="Calibri" w:cs="Calibri"/>
                <w:sz w:val="22"/>
                <w:szCs w:val="22"/>
                <w:lang w:val="es-ES" w:eastAsia="es-CO"/>
              </w:rPr>
            </w:pPr>
            <w:r w:rsidRPr="00F462F2">
              <w:rPr>
                <w:rFonts w:ascii="Calibri" w:hAnsi="Calibri" w:cs="Calibri"/>
                <w:sz w:val="22"/>
                <w:szCs w:val="22"/>
                <w:lang w:val="es-ES" w:eastAsia="es-CO"/>
              </w:rPr>
              <w:t>Abuso físico, sexual o sicológico.</w:t>
            </w:r>
          </w:p>
          <w:p w14:paraId="6CD1D802" w14:textId="77777777" w:rsidR="00F462F2" w:rsidRPr="00F462F2" w:rsidRDefault="00F462F2" w:rsidP="00F462F2">
            <w:pPr>
              <w:numPr>
                <w:ilvl w:val="0"/>
                <w:numId w:val="2"/>
              </w:numPr>
              <w:contextualSpacing/>
              <w:jc w:val="both"/>
              <w:rPr>
                <w:rFonts w:ascii="Calibri" w:hAnsi="Calibri" w:cs="Calibri"/>
                <w:sz w:val="22"/>
                <w:szCs w:val="22"/>
                <w:lang w:val="es-ES" w:eastAsia="es-CO"/>
              </w:rPr>
            </w:pPr>
            <w:r w:rsidRPr="00F462F2">
              <w:rPr>
                <w:rFonts w:ascii="Calibri" w:hAnsi="Calibri" w:cs="Calibri"/>
                <w:sz w:val="22"/>
                <w:szCs w:val="22"/>
                <w:lang w:val="es-ES" w:eastAsia="es-CO"/>
              </w:rPr>
              <w:t>Incidentes críticos.</w:t>
            </w:r>
          </w:p>
          <w:p w14:paraId="4958A409" w14:textId="77777777" w:rsidR="00F462F2" w:rsidRPr="00F462F2" w:rsidRDefault="00F462F2" w:rsidP="00F462F2">
            <w:pPr>
              <w:numPr>
                <w:ilvl w:val="0"/>
                <w:numId w:val="2"/>
              </w:numPr>
              <w:contextualSpacing/>
              <w:jc w:val="both"/>
              <w:rPr>
                <w:rFonts w:ascii="Calibri" w:hAnsi="Calibri" w:cs="Calibri"/>
                <w:sz w:val="22"/>
                <w:szCs w:val="22"/>
                <w:lang w:val="es-ES" w:eastAsia="es-CO"/>
              </w:rPr>
            </w:pPr>
            <w:r w:rsidRPr="00F462F2">
              <w:rPr>
                <w:rFonts w:ascii="Calibri" w:hAnsi="Calibri" w:cs="Calibri"/>
                <w:sz w:val="22"/>
                <w:szCs w:val="22"/>
                <w:lang w:val="es-ES" w:eastAsia="es-CO"/>
              </w:rPr>
              <w:t>Síntomas de depresión.</w:t>
            </w:r>
          </w:p>
          <w:p w14:paraId="6899C8E8" w14:textId="77777777" w:rsidR="00F462F2" w:rsidRPr="00F462F2" w:rsidRDefault="00F462F2" w:rsidP="00F462F2">
            <w:pPr>
              <w:numPr>
                <w:ilvl w:val="0"/>
                <w:numId w:val="2"/>
              </w:numPr>
              <w:contextualSpacing/>
              <w:jc w:val="both"/>
              <w:rPr>
                <w:rFonts w:ascii="Calibri" w:hAnsi="Calibri" w:cs="Calibri"/>
                <w:sz w:val="22"/>
                <w:szCs w:val="22"/>
                <w:lang w:val="es-ES" w:eastAsia="es-CO"/>
              </w:rPr>
            </w:pPr>
            <w:r w:rsidRPr="00F462F2">
              <w:rPr>
                <w:rFonts w:ascii="Calibri" w:hAnsi="Calibri" w:cs="Calibri"/>
                <w:sz w:val="22"/>
                <w:szCs w:val="22"/>
                <w:lang w:val="es-ES" w:eastAsia="es-CO"/>
              </w:rPr>
              <w:t>Síntomas de ansiedad.</w:t>
            </w:r>
          </w:p>
          <w:p w14:paraId="6EBD4BBD" w14:textId="77777777" w:rsidR="00F462F2" w:rsidRPr="00F462F2" w:rsidRDefault="00F462F2" w:rsidP="00F462F2">
            <w:pPr>
              <w:numPr>
                <w:ilvl w:val="0"/>
                <w:numId w:val="2"/>
              </w:numPr>
              <w:contextualSpacing/>
              <w:jc w:val="both"/>
              <w:rPr>
                <w:rFonts w:ascii="Calibri" w:hAnsi="Calibri" w:cs="Calibri"/>
                <w:sz w:val="22"/>
                <w:szCs w:val="22"/>
                <w:lang w:val="es-ES" w:eastAsia="es-CO"/>
              </w:rPr>
            </w:pPr>
            <w:r w:rsidRPr="00F462F2">
              <w:rPr>
                <w:rFonts w:ascii="Calibri" w:hAnsi="Calibri" w:cs="Calibri"/>
                <w:sz w:val="22"/>
                <w:szCs w:val="22"/>
                <w:lang w:val="es-ES" w:eastAsia="es-CO"/>
              </w:rPr>
              <w:t>Manejo de pérdidas y duelos.</w:t>
            </w:r>
          </w:p>
          <w:p w14:paraId="6F0F7B3B" w14:textId="77777777" w:rsidR="00F462F2" w:rsidRPr="00F462F2" w:rsidRDefault="00F462F2" w:rsidP="00F462F2">
            <w:pPr>
              <w:numPr>
                <w:ilvl w:val="0"/>
                <w:numId w:val="2"/>
              </w:numPr>
              <w:contextualSpacing/>
              <w:jc w:val="both"/>
              <w:rPr>
                <w:rFonts w:ascii="Calibri" w:hAnsi="Calibri" w:cs="Calibri"/>
                <w:sz w:val="22"/>
                <w:szCs w:val="22"/>
                <w:lang w:val="es-ES" w:eastAsia="es-CO"/>
              </w:rPr>
            </w:pPr>
            <w:r w:rsidRPr="00F462F2">
              <w:rPr>
                <w:rFonts w:ascii="Calibri" w:hAnsi="Calibri" w:cs="Calibri"/>
                <w:sz w:val="22"/>
                <w:szCs w:val="22"/>
                <w:lang w:val="es-ES" w:eastAsia="es-CO"/>
              </w:rPr>
              <w:t>Problemas de pareja.</w:t>
            </w:r>
          </w:p>
          <w:p w14:paraId="3FF78417" w14:textId="77777777" w:rsidR="00F462F2" w:rsidRPr="00F462F2" w:rsidRDefault="00F462F2" w:rsidP="00F462F2">
            <w:pPr>
              <w:ind w:left="720"/>
              <w:contextualSpacing/>
              <w:jc w:val="both"/>
              <w:rPr>
                <w:rFonts w:ascii="Calibri" w:hAnsi="Calibri" w:cs="Calibri"/>
                <w:sz w:val="22"/>
                <w:szCs w:val="22"/>
                <w:lang w:val="es-ES" w:eastAsia="es-CO"/>
              </w:rPr>
            </w:pPr>
          </w:p>
          <w:p w14:paraId="1593315D" w14:textId="77777777" w:rsidR="00F462F2" w:rsidRPr="00F462F2" w:rsidRDefault="00F462F2" w:rsidP="00F462F2">
            <w:pPr>
              <w:jc w:val="both"/>
              <w:rPr>
                <w:rFonts w:ascii="Calibri" w:hAnsi="Calibri" w:cs="Calibri"/>
                <w:sz w:val="22"/>
                <w:szCs w:val="22"/>
                <w:lang w:val="es-ES" w:eastAsia="es-CO"/>
              </w:rPr>
            </w:pPr>
            <w:r w:rsidRPr="00F462F2">
              <w:rPr>
                <w:rFonts w:ascii="Calibri" w:hAnsi="Calibri" w:cs="Calibri"/>
                <w:sz w:val="22"/>
                <w:szCs w:val="22"/>
                <w:lang w:val="es-ES" w:eastAsia="es-CO"/>
              </w:rPr>
              <w:t>El modelo de atención incluye una línea telefónica, un número de WhatsApp, un correo electrónico y un sitio web, entre los que las personas pueden elegir de acuerdo con su situación. Dependiendo del caso, los profesionales a cargo de Contigo tendrán entre sus funciones, no solo acompañar el proceso de salud mental y emocional de quienes consultan, sino también conducir aquellos casos sensibles a las autoridades o instituciones que corresponda para velar por la vida y el bienestar integral de las empleadas.</w:t>
            </w:r>
          </w:p>
          <w:p w14:paraId="4AD96971" w14:textId="77777777" w:rsidR="00F462F2" w:rsidRPr="00F462F2" w:rsidRDefault="00F462F2" w:rsidP="00F462F2">
            <w:pPr>
              <w:jc w:val="both"/>
              <w:rPr>
                <w:rFonts w:ascii="Calibri" w:hAnsi="Calibri" w:cs="Calibri"/>
                <w:sz w:val="22"/>
                <w:szCs w:val="22"/>
                <w:lang w:val="es-ES" w:eastAsia="es-CO"/>
              </w:rPr>
            </w:pPr>
          </w:p>
        </w:tc>
      </w:tr>
      <w:tr w:rsidR="00F462F2" w:rsidRPr="00F462F2" w14:paraId="4EB75BD2" w14:textId="77777777" w:rsidTr="00D87369">
        <w:trPr>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0064846F" w14:textId="77777777" w:rsidR="00F462F2" w:rsidRPr="00F462F2" w:rsidRDefault="00F462F2" w:rsidP="00F462F2">
            <w:pPr>
              <w:jc w:val="both"/>
              <w:rPr>
                <w:rFonts w:ascii="Calibri" w:hAnsi="Calibri" w:cs="Calibri"/>
                <w:b/>
                <w:bCs/>
                <w:sz w:val="22"/>
                <w:szCs w:val="22"/>
                <w:lang w:eastAsia="es-CO"/>
              </w:rPr>
            </w:pPr>
            <w:r w:rsidRPr="00F462F2">
              <w:rPr>
                <w:rFonts w:ascii="Calibri" w:hAnsi="Calibri" w:cs="Calibri"/>
                <w:b/>
                <w:bCs/>
                <w:sz w:val="22"/>
                <w:szCs w:val="22"/>
                <w:lang w:eastAsia="es-CO"/>
              </w:rPr>
              <w:lastRenderedPageBreak/>
              <w:t>Alianzas existentes en el marco de la experiencia</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2B394275" w14:textId="77777777" w:rsidR="00F462F2" w:rsidRPr="00F462F2" w:rsidRDefault="00F462F2" w:rsidP="00F462F2">
            <w:pPr>
              <w:jc w:val="both"/>
              <w:rPr>
                <w:rFonts w:ascii="Calibri" w:hAnsi="Calibri" w:cs="Calibri"/>
                <w:sz w:val="22"/>
                <w:szCs w:val="22"/>
                <w:lang w:val="es-ES" w:eastAsia="es-CO"/>
              </w:rPr>
            </w:pPr>
            <w:r w:rsidRPr="00F462F2">
              <w:rPr>
                <w:rFonts w:ascii="Calibri" w:hAnsi="Calibri" w:cs="Calibri"/>
                <w:sz w:val="22"/>
                <w:szCs w:val="22"/>
                <w:lang w:val="es-ES" w:eastAsia="es-CO"/>
              </w:rPr>
              <w:t xml:space="preserve">Nos mantenemos en contacto con ONU Mujeres y la Comunidad </w:t>
            </w:r>
            <w:proofErr w:type="spellStart"/>
            <w:r w:rsidRPr="00F462F2">
              <w:rPr>
                <w:rFonts w:ascii="Calibri" w:hAnsi="Calibri" w:cs="Calibri"/>
                <w:sz w:val="22"/>
                <w:szCs w:val="22"/>
                <w:lang w:val="es-ES" w:eastAsia="es-CO"/>
              </w:rPr>
              <w:t>Aequales</w:t>
            </w:r>
            <w:proofErr w:type="spellEnd"/>
            <w:r w:rsidRPr="00F462F2">
              <w:rPr>
                <w:rFonts w:ascii="Calibri" w:hAnsi="Calibri" w:cs="Calibri"/>
                <w:sz w:val="22"/>
                <w:szCs w:val="22"/>
                <w:lang w:val="es-ES" w:eastAsia="es-CO"/>
              </w:rPr>
              <w:t xml:space="preserve"> para profundizar nuestro entendimiento sobre esta realidad y seguir trabajando por acompañar a nuestros empleados hacia la consolidación de una vida sin violencia. </w:t>
            </w:r>
          </w:p>
        </w:tc>
      </w:tr>
      <w:tr w:rsidR="00F462F2" w:rsidRPr="00F462F2" w14:paraId="7A28030E" w14:textId="77777777" w:rsidTr="00D87369">
        <w:trPr>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6B4A5CEE" w14:textId="77777777" w:rsidR="00F462F2" w:rsidRPr="00F462F2" w:rsidRDefault="00F462F2" w:rsidP="00F462F2">
            <w:pPr>
              <w:jc w:val="both"/>
              <w:rPr>
                <w:rFonts w:ascii="Calibri" w:hAnsi="Calibri" w:cs="Calibri"/>
                <w:b/>
                <w:bCs/>
                <w:sz w:val="22"/>
                <w:szCs w:val="22"/>
                <w:lang w:eastAsia="es-CO"/>
              </w:rPr>
            </w:pPr>
            <w:r w:rsidRPr="00F462F2">
              <w:rPr>
                <w:rFonts w:ascii="Calibri" w:hAnsi="Calibri" w:cs="Calibri"/>
                <w:b/>
                <w:bCs/>
                <w:sz w:val="22"/>
                <w:szCs w:val="22"/>
                <w:lang w:eastAsia="es-CO"/>
              </w:rPr>
              <w:t>Beneficios o resultados obtenidos en la empresa</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1EDC07E8" w14:textId="77777777" w:rsidR="00F462F2" w:rsidRPr="00F462F2" w:rsidRDefault="00F462F2" w:rsidP="00F462F2">
            <w:pPr>
              <w:jc w:val="both"/>
              <w:rPr>
                <w:rFonts w:ascii="Calibri" w:hAnsi="Calibri" w:cs="Calibri"/>
                <w:sz w:val="22"/>
                <w:szCs w:val="22"/>
                <w:lang w:val="es-ES" w:eastAsia="es-CO"/>
              </w:rPr>
            </w:pPr>
            <w:r w:rsidRPr="00F462F2">
              <w:rPr>
                <w:rFonts w:ascii="Calibri" w:hAnsi="Calibri" w:cs="Calibri"/>
                <w:sz w:val="22"/>
                <w:szCs w:val="22"/>
                <w:lang w:val="es-ES" w:eastAsia="es-CO"/>
              </w:rPr>
              <w:t>Durante el segundo semestre de 2020, se recibieron más de 300 contactos a la Línea Contigo. Por su parte, en lo que llevamos de 2021, se han atendido más de 413 casos, con un nivel de satisfacción superior al 98%.</w:t>
            </w:r>
          </w:p>
        </w:tc>
      </w:tr>
      <w:tr w:rsidR="00F462F2" w:rsidRPr="00F462F2" w14:paraId="0EC11088" w14:textId="77777777" w:rsidTr="00D87369">
        <w:trPr>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6C0A1DA1" w14:textId="77777777" w:rsidR="00F462F2" w:rsidRPr="00F462F2" w:rsidRDefault="00F462F2" w:rsidP="00F462F2">
            <w:pPr>
              <w:jc w:val="both"/>
              <w:rPr>
                <w:rFonts w:ascii="Calibri" w:hAnsi="Calibri" w:cs="Calibri"/>
                <w:b/>
                <w:bCs/>
                <w:sz w:val="22"/>
                <w:szCs w:val="22"/>
                <w:lang w:eastAsia="es-CO"/>
              </w:rPr>
            </w:pPr>
            <w:r w:rsidRPr="00F462F2">
              <w:rPr>
                <w:rFonts w:ascii="Calibri" w:hAnsi="Calibri" w:cs="Calibri"/>
                <w:b/>
                <w:bCs/>
                <w:sz w:val="22"/>
                <w:szCs w:val="22"/>
                <w:lang w:eastAsia="es-CO"/>
              </w:rPr>
              <w:t>Acciones de mejora o lecciones aprendidas en el proceso</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5B1F98E8" w14:textId="77777777" w:rsidR="00F462F2" w:rsidRPr="00F462F2" w:rsidRDefault="00F462F2" w:rsidP="00F462F2">
            <w:pPr>
              <w:numPr>
                <w:ilvl w:val="0"/>
                <w:numId w:val="1"/>
              </w:numPr>
              <w:contextualSpacing/>
              <w:jc w:val="both"/>
              <w:rPr>
                <w:rFonts w:ascii="Calibri" w:hAnsi="Calibri" w:cs="Calibri"/>
                <w:sz w:val="22"/>
                <w:szCs w:val="22"/>
                <w:lang w:eastAsia="es-CO"/>
              </w:rPr>
            </w:pPr>
            <w:r w:rsidRPr="00F462F2">
              <w:rPr>
                <w:rFonts w:ascii="Calibri" w:hAnsi="Calibri" w:cs="Calibri"/>
                <w:sz w:val="22"/>
                <w:szCs w:val="22"/>
                <w:u w:val="single"/>
                <w:lang w:eastAsia="es-CO"/>
              </w:rPr>
              <w:t>Todos los contextos pueden propiciar la violencia de género:</w:t>
            </w:r>
            <w:r w:rsidRPr="00F462F2">
              <w:rPr>
                <w:rFonts w:ascii="Calibri" w:hAnsi="Calibri" w:cs="Calibri"/>
                <w:sz w:val="22"/>
                <w:szCs w:val="22"/>
                <w:lang w:eastAsia="es-CO"/>
              </w:rPr>
              <w:t xml:space="preserve"> Estar en medio de un entorno aparentemente tranquilo y con buenas condiciones de calidad de vida no significa necesariamente que las personas no sean vulnerables a la violencia. Es fundamental profundizar en la realidad de las personas, sin presumir su situación, donde menos lo imaginamos puede haber violencia de género. </w:t>
            </w:r>
          </w:p>
          <w:p w14:paraId="6639DA04" w14:textId="77777777" w:rsidR="00F462F2" w:rsidRPr="00F462F2" w:rsidRDefault="00F462F2" w:rsidP="00F462F2">
            <w:pPr>
              <w:numPr>
                <w:ilvl w:val="0"/>
                <w:numId w:val="1"/>
              </w:numPr>
              <w:contextualSpacing/>
              <w:jc w:val="both"/>
              <w:rPr>
                <w:rFonts w:ascii="Calibri" w:hAnsi="Calibri" w:cs="Calibri"/>
                <w:sz w:val="22"/>
                <w:szCs w:val="22"/>
                <w:lang w:eastAsia="es-CO"/>
              </w:rPr>
            </w:pPr>
            <w:r w:rsidRPr="00F462F2">
              <w:rPr>
                <w:rFonts w:ascii="Calibri" w:hAnsi="Calibri" w:cs="Calibri"/>
                <w:sz w:val="22"/>
                <w:szCs w:val="22"/>
                <w:u w:val="single"/>
                <w:lang w:eastAsia="es-CO"/>
              </w:rPr>
              <w:t>Hablar abiertamente de violencia sigue siendo un reto:</w:t>
            </w:r>
            <w:r w:rsidRPr="00F462F2">
              <w:rPr>
                <w:rFonts w:ascii="Calibri" w:hAnsi="Calibri" w:cs="Calibri"/>
                <w:sz w:val="22"/>
                <w:szCs w:val="22"/>
                <w:lang w:eastAsia="es-CO"/>
              </w:rPr>
              <w:t xml:space="preserve"> la cultura de nuestra sociedad sigue estereotipando de manera fuerte la violencia de género, prejuicios que muchas veces señalan a quienes han sido víctimas, por lo que las limita a buscar ayuda. </w:t>
            </w:r>
          </w:p>
          <w:p w14:paraId="546DAE35" w14:textId="77777777" w:rsidR="00F462F2" w:rsidRPr="00F462F2" w:rsidRDefault="00F462F2" w:rsidP="00F462F2">
            <w:pPr>
              <w:ind w:left="720"/>
              <w:contextualSpacing/>
              <w:jc w:val="both"/>
              <w:rPr>
                <w:rFonts w:ascii="Calibri" w:hAnsi="Calibri" w:cs="Calibri"/>
                <w:sz w:val="22"/>
                <w:szCs w:val="22"/>
                <w:lang w:eastAsia="es-CO"/>
              </w:rPr>
            </w:pPr>
            <w:r w:rsidRPr="00F462F2">
              <w:rPr>
                <w:rFonts w:ascii="Calibri" w:hAnsi="Calibri" w:cs="Calibri"/>
                <w:sz w:val="22"/>
                <w:szCs w:val="22"/>
                <w:lang w:eastAsia="es-CO"/>
              </w:rPr>
              <w:t xml:space="preserve">Además, aún es necesario compartir herramientas con todas las personas para que sepan cómo actuar en caso tal de conocer un caso de violencia, pues a veces, de manera inconsciente y con la mejor voluntad, las conversaciones informales terminan perjudicando más la situación. </w:t>
            </w:r>
          </w:p>
        </w:tc>
      </w:tr>
      <w:tr w:rsidR="00F462F2" w:rsidRPr="00F462F2" w14:paraId="16FD8AD7" w14:textId="77777777" w:rsidTr="00D87369">
        <w:trPr>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1FA3ECC0" w14:textId="77777777" w:rsidR="00F462F2" w:rsidRPr="00F462F2" w:rsidRDefault="00F462F2" w:rsidP="00F462F2">
            <w:pPr>
              <w:jc w:val="both"/>
              <w:rPr>
                <w:rFonts w:ascii="Calibri" w:hAnsi="Calibri" w:cs="Calibri"/>
                <w:b/>
                <w:bCs/>
                <w:sz w:val="22"/>
                <w:szCs w:val="22"/>
                <w:lang w:eastAsia="es-CO"/>
              </w:rPr>
            </w:pPr>
            <w:r w:rsidRPr="00F462F2">
              <w:rPr>
                <w:rFonts w:ascii="Calibri" w:hAnsi="Calibri" w:cs="Calibri"/>
                <w:b/>
                <w:bCs/>
                <w:sz w:val="22"/>
                <w:szCs w:val="22"/>
                <w:lang w:eastAsia="es-CO"/>
              </w:rPr>
              <w:lastRenderedPageBreak/>
              <w:t>¿Existe un proceso de divulgación o socialización de la buena práctica? ¿Cómo se realiza?</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6EBE5631"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 xml:space="preserve">Para la difusión y el conocimiento de la existencia de la Línea Contigo se hace comunicación periódica al interior de la organización para que todos los empleados y líderes conozcan de este canal y lo tengan siempre presente. Esta comunicación se hace a través de diferentes formatos, tales como noticias en la intranet, </w:t>
            </w:r>
            <w:proofErr w:type="spellStart"/>
            <w:r w:rsidRPr="00F462F2">
              <w:rPr>
                <w:rFonts w:ascii="Calibri" w:hAnsi="Calibri" w:cs="Calibri"/>
                <w:sz w:val="22"/>
                <w:szCs w:val="22"/>
                <w:lang w:eastAsia="es-CO"/>
              </w:rPr>
              <w:t>webinars</w:t>
            </w:r>
            <w:proofErr w:type="spellEnd"/>
            <w:r w:rsidRPr="00F462F2">
              <w:rPr>
                <w:rFonts w:ascii="Calibri" w:hAnsi="Calibri" w:cs="Calibri"/>
                <w:sz w:val="22"/>
                <w:szCs w:val="22"/>
                <w:lang w:eastAsia="es-CO"/>
              </w:rPr>
              <w:t xml:space="preserve">, </w:t>
            </w:r>
            <w:proofErr w:type="spellStart"/>
            <w:r w:rsidRPr="00F462F2">
              <w:rPr>
                <w:rFonts w:ascii="Calibri" w:hAnsi="Calibri" w:cs="Calibri"/>
                <w:sz w:val="22"/>
                <w:szCs w:val="22"/>
                <w:lang w:eastAsia="es-CO"/>
              </w:rPr>
              <w:t>tests</w:t>
            </w:r>
            <w:proofErr w:type="spellEnd"/>
            <w:r w:rsidRPr="00F462F2">
              <w:rPr>
                <w:rFonts w:ascii="Calibri" w:hAnsi="Calibri" w:cs="Calibri"/>
                <w:sz w:val="22"/>
                <w:szCs w:val="22"/>
                <w:lang w:eastAsia="es-CO"/>
              </w:rPr>
              <w:t xml:space="preserve">, etc. Además, se comunica y forma constantemente al equipo de Gestión Humana para que en su contacto diario con los empleados tengan muy en cuenta las posibilidades que tiene el banco para apoyarlos en situaciones de violencia y para crear juntos una cultura de vida sin violencia. </w:t>
            </w:r>
          </w:p>
        </w:tc>
      </w:tr>
      <w:tr w:rsidR="00F462F2" w:rsidRPr="00F462F2" w14:paraId="705172F0" w14:textId="77777777" w:rsidTr="00D87369">
        <w:trPr>
          <w:jc w:val="center"/>
        </w:trPr>
        <w:tc>
          <w:tcPr>
            <w:tcW w:w="3117" w:type="dxa"/>
            <w:tcBorders>
              <w:top w:val="nil"/>
              <w:left w:val="single" w:sz="8" w:space="0" w:color="4F81BD"/>
              <w:bottom w:val="single" w:sz="8" w:space="0" w:color="4F81BD"/>
              <w:right w:val="single" w:sz="8" w:space="0" w:color="4F81BD"/>
            </w:tcBorders>
            <w:tcMar>
              <w:top w:w="0" w:type="dxa"/>
              <w:left w:w="108" w:type="dxa"/>
              <w:bottom w:w="0" w:type="dxa"/>
              <w:right w:w="108" w:type="dxa"/>
            </w:tcMar>
            <w:hideMark/>
          </w:tcPr>
          <w:p w14:paraId="17C42975" w14:textId="77777777" w:rsidR="00F462F2" w:rsidRPr="00F462F2" w:rsidRDefault="00F462F2" w:rsidP="00F462F2">
            <w:pPr>
              <w:jc w:val="both"/>
              <w:rPr>
                <w:rFonts w:ascii="Calibri" w:hAnsi="Calibri" w:cs="Calibri"/>
                <w:b/>
                <w:bCs/>
                <w:sz w:val="22"/>
                <w:szCs w:val="22"/>
                <w:lang w:eastAsia="es-CO"/>
              </w:rPr>
            </w:pPr>
            <w:r w:rsidRPr="00F462F2">
              <w:rPr>
                <w:rFonts w:ascii="Calibri" w:hAnsi="Calibri" w:cs="Calibri"/>
                <w:b/>
                <w:bCs/>
                <w:sz w:val="22"/>
                <w:szCs w:val="22"/>
                <w:lang w:val="es-ES" w:eastAsia="es-CO"/>
              </w:rPr>
              <w:t>D</w:t>
            </w:r>
            <w:r w:rsidRPr="00F462F2">
              <w:rPr>
                <w:rFonts w:ascii="Calibri" w:hAnsi="Calibri" w:cs="Calibri"/>
                <w:b/>
                <w:bCs/>
                <w:sz w:val="22"/>
                <w:szCs w:val="22"/>
                <w:lang w:eastAsia="es-CO"/>
              </w:rPr>
              <w:t xml:space="preserve">e ser replicable la experiencia ¿Cuáles son los criterios de </w:t>
            </w:r>
            <w:proofErr w:type="spellStart"/>
            <w:r w:rsidRPr="00F462F2">
              <w:rPr>
                <w:rFonts w:ascii="Calibri" w:hAnsi="Calibri" w:cs="Calibri"/>
                <w:b/>
                <w:bCs/>
                <w:sz w:val="22"/>
                <w:szCs w:val="22"/>
                <w:lang w:eastAsia="es-CO"/>
              </w:rPr>
              <w:t>replicabilidad</w:t>
            </w:r>
            <w:proofErr w:type="spellEnd"/>
            <w:r w:rsidRPr="00F462F2">
              <w:rPr>
                <w:rFonts w:ascii="Calibri" w:hAnsi="Calibri" w:cs="Calibri"/>
                <w:b/>
                <w:bCs/>
                <w:sz w:val="22"/>
                <w:szCs w:val="22"/>
                <w:lang w:eastAsia="es-CO"/>
              </w:rPr>
              <w:t>? ¿Quiénes pueden hacerlo?</w:t>
            </w:r>
          </w:p>
        </w:tc>
        <w:tc>
          <w:tcPr>
            <w:tcW w:w="6318" w:type="dxa"/>
            <w:tcBorders>
              <w:top w:val="nil"/>
              <w:left w:val="nil"/>
              <w:bottom w:val="single" w:sz="8" w:space="0" w:color="4F81BD"/>
              <w:right w:val="single" w:sz="8" w:space="0" w:color="4F81BD"/>
            </w:tcBorders>
            <w:tcMar>
              <w:top w:w="0" w:type="dxa"/>
              <w:left w:w="108" w:type="dxa"/>
              <w:bottom w:w="0" w:type="dxa"/>
              <w:right w:w="108" w:type="dxa"/>
            </w:tcMar>
          </w:tcPr>
          <w:p w14:paraId="5B772EB1"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 xml:space="preserve">La Línea Contigo es un canal </w:t>
            </w:r>
            <w:proofErr w:type="spellStart"/>
            <w:r w:rsidRPr="00F462F2">
              <w:rPr>
                <w:rFonts w:ascii="Calibri" w:hAnsi="Calibri" w:cs="Calibri"/>
                <w:sz w:val="22"/>
                <w:szCs w:val="22"/>
                <w:lang w:eastAsia="es-CO"/>
              </w:rPr>
              <w:t>tercerizado</w:t>
            </w:r>
            <w:proofErr w:type="spellEnd"/>
            <w:r w:rsidRPr="00F462F2">
              <w:rPr>
                <w:rFonts w:ascii="Calibri" w:hAnsi="Calibri" w:cs="Calibri"/>
                <w:sz w:val="22"/>
                <w:szCs w:val="22"/>
                <w:lang w:eastAsia="es-CO"/>
              </w:rPr>
              <w:t xml:space="preserve"> con un proveedor experto en estos temas, por lo que es completamente replicable por cualquier organización, y si bien se trata con toda confidencialidad, se convierte en un espacio en el que es posible acercarse a la realidad de los empleados, para seguirlos acompañando y seguir fortaleciendo procesos que permitan prevenir y apoyar estos casos. </w:t>
            </w:r>
          </w:p>
          <w:p w14:paraId="06471731" w14:textId="77777777" w:rsidR="00F462F2" w:rsidRPr="00F462F2" w:rsidRDefault="00F462F2" w:rsidP="00F462F2">
            <w:pPr>
              <w:jc w:val="both"/>
              <w:rPr>
                <w:rFonts w:ascii="Calibri" w:hAnsi="Calibri" w:cs="Calibri"/>
                <w:sz w:val="22"/>
                <w:szCs w:val="22"/>
                <w:lang w:eastAsia="es-CO"/>
              </w:rPr>
            </w:pPr>
            <w:r w:rsidRPr="00F462F2">
              <w:rPr>
                <w:rFonts w:ascii="Calibri" w:hAnsi="Calibri" w:cs="Calibri"/>
                <w:sz w:val="22"/>
                <w:szCs w:val="22"/>
                <w:lang w:eastAsia="es-CO"/>
              </w:rPr>
              <w:t>Es importante reconocer hasta dónde llega la competencia que tienen las organizaciones en el acompañamiento a estos casos y asegurar una conexión con las autoridades competentes de adelantar los procesos legales que correspondan en cada caso.</w:t>
            </w:r>
          </w:p>
        </w:tc>
      </w:tr>
    </w:tbl>
    <w:p w14:paraId="51339868" w14:textId="77777777" w:rsidR="00373E00" w:rsidRPr="00F462F2" w:rsidRDefault="00373E00" w:rsidP="00373E00">
      <w:pPr>
        <w:jc w:val="center"/>
      </w:pPr>
    </w:p>
    <w:sectPr w:rsidR="00373E00" w:rsidRPr="00F462F2">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4F128" w14:textId="77777777" w:rsidR="009C34E4" w:rsidRDefault="009C34E4" w:rsidP="00373E00">
      <w:r>
        <w:separator/>
      </w:r>
    </w:p>
  </w:endnote>
  <w:endnote w:type="continuationSeparator" w:id="0">
    <w:p w14:paraId="58F296E8" w14:textId="77777777" w:rsidR="009C34E4" w:rsidRDefault="009C34E4" w:rsidP="00373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tham Rounded Bold">
    <w:altName w:val="Arial"/>
    <w:panose1 w:val="020B0604020202020204"/>
    <w:charset w:val="00"/>
    <w:family w:val="modern"/>
    <w:notTrueType/>
    <w:pitch w:val="variable"/>
    <w:sig w:usb0="00000001" w:usb1="4000004A" w:usb2="00000000" w:usb3="00000000" w:csb0="000001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85F65" w14:textId="41D1235C" w:rsidR="00373E00" w:rsidRDefault="00373E00" w:rsidP="00373E00">
    <w:pPr>
      <w:pStyle w:val="Piedepgina"/>
      <w:jc w:val="right"/>
    </w:pPr>
    <w:r>
      <w:rPr>
        <w:noProof/>
      </w:rPr>
      <w:drawing>
        <wp:inline distT="0" distB="0" distL="0" distR="0" wp14:anchorId="527461F5" wp14:editId="55DEE273">
          <wp:extent cx="889000" cy="88900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r>
      <w:rPr>
        <w:noProof/>
      </w:rPr>
      <w:drawing>
        <wp:inline distT="0" distB="0" distL="0" distR="0" wp14:anchorId="6333BBB4" wp14:editId="52B4E346">
          <wp:extent cx="914400" cy="9144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Pr>
        <w:noProof/>
      </w:rPr>
      <w:drawing>
        <wp:inline distT="0" distB="0" distL="0" distR="0" wp14:anchorId="0F4647FB" wp14:editId="16442D92">
          <wp:extent cx="1333500" cy="887924"/>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4168" cy="91500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D5B5" w14:textId="77777777" w:rsidR="009C34E4" w:rsidRDefault="009C34E4" w:rsidP="00373E00">
      <w:r>
        <w:separator/>
      </w:r>
    </w:p>
  </w:footnote>
  <w:footnote w:type="continuationSeparator" w:id="0">
    <w:p w14:paraId="5FDCD4B8" w14:textId="77777777" w:rsidR="009C34E4" w:rsidRDefault="009C34E4" w:rsidP="00373E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9C548" w14:textId="4C1302F9" w:rsidR="00373E00" w:rsidRDefault="00373E00">
    <w:pPr>
      <w:pStyle w:val="Encabezado"/>
    </w:pPr>
  </w:p>
  <w:p w14:paraId="5B083180" w14:textId="77777777" w:rsidR="00373E00" w:rsidRDefault="00373E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655F"/>
    <w:multiLevelType w:val="hybridMultilevel"/>
    <w:tmpl w:val="5E18577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0A1BEB"/>
    <w:multiLevelType w:val="hybridMultilevel"/>
    <w:tmpl w:val="6066B3D8"/>
    <w:lvl w:ilvl="0" w:tplc="C0AC2056">
      <w:numFmt w:val="bullet"/>
      <w:lvlText w:val="-"/>
      <w:lvlJc w:val="left"/>
      <w:pPr>
        <w:ind w:left="720" w:hanging="360"/>
      </w:pPr>
      <w:rPr>
        <w:rFonts w:ascii="Gotham Rounded Bold" w:eastAsiaTheme="minorHAnsi" w:hAnsi="Gotham Rounded Bold"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E00"/>
    <w:rsid w:val="00373E00"/>
    <w:rsid w:val="009C34E4"/>
    <w:rsid w:val="00AF67D4"/>
    <w:rsid w:val="00C02D66"/>
    <w:rsid w:val="00F17715"/>
    <w:rsid w:val="00F462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3DC382A0"/>
  <w15:chartTrackingRefBased/>
  <w15:docId w15:val="{62B37913-0D70-FE4B-BBDC-178DE09A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3E00"/>
    <w:pPr>
      <w:tabs>
        <w:tab w:val="center" w:pos="4419"/>
        <w:tab w:val="right" w:pos="8838"/>
      </w:tabs>
    </w:pPr>
  </w:style>
  <w:style w:type="character" w:customStyle="1" w:styleId="EncabezadoCar">
    <w:name w:val="Encabezado Car"/>
    <w:basedOn w:val="Fuentedeprrafopredeter"/>
    <w:link w:val="Encabezado"/>
    <w:uiPriority w:val="99"/>
    <w:rsid w:val="00373E00"/>
  </w:style>
  <w:style w:type="paragraph" w:styleId="Piedepgina">
    <w:name w:val="footer"/>
    <w:basedOn w:val="Normal"/>
    <w:link w:val="PiedepginaCar"/>
    <w:uiPriority w:val="99"/>
    <w:unhideWhenUsed/>
    <w:rsid w:val="00373E00"/>
    <w:pPr>
      <w:tabs>
        <w:tab w:val="center" w:pos="4419"/>
        <w:tab w:val="right" w:pos="8838"/>
      </w:tabs>
    </w:pPr>
  </w:style>
  <w:style w:type="character" w:customStyle="1" w:styleId="PiedepginaCar">
    <w:name w:val="Pie de página Car"/>
    <w:basedOn w:val="Fuentedeprrafopredeter"/>
    <w:link w:val="Piedepgina"/>
    <w:uiPriority w:val="99"/>
    <w:rsid w:val="00373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farang@bancolombia.com.co" TargetMode="External"/><Relationship Id="rId3" Type="http://schemas.openxmlformats.org/officeDocument/2006/relationships/settings" Target="settings.xml"/><Relationship Id="rId7" Type="http://schemas.openxmlformats.org/officeDocument/2006/relationships/hyperlink" Target="mailto:sauarang@bancolombia.com.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1248</Words>
  <Characters>6870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Paola Rojas Bermeo</dc:creator>
  <cp:keywords/>
  <dc:description/>
  <cp:lastModifiedBy>Diana Paola Rojas Bermeo</cp:lastModifiedBy>
  <cp:revision>2</cp:revision>
  <dcterms:created xsi:type="dcterms:W3CDTF">2021-09-11T13:53:00Z</dcterms:created>
  <dcterms:modified xsi:type="dcterms:W3CDTF">2021-09-11T13:53:00Z</dcterms:modified>
</cp:coreProperties>
</file>